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40" w:rsidRDefault="00BA4C44">
      <w:pPr>
        <w:pStyle w:val="Antrat2"/>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                                                                                                           PATVIRTINTA</w:t>
      </w:r>
    </w:p>
    <w:p w:rsidR="00AF7A40" w:rsidRDefault="00BA4C4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Nacionalinės šeimos tarybos  </w:t>
      </w:r>
    </w:p>
    <w:p w:rsidR="00AF7A40" w:rsidRDefault="00BA4C4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2022 m. vasario </w:t>
      </w:r>
      <w:r>
        <w:rPr>
          <w:rFonts w:ascii="Times New Roman" w:hAnsi="Times New Roman" w:cs="Times New Roman"/>
          <w:sz w:val="24"/>
          <w:szCs w:val="24"/>
        </w:rPr>
        <w:t>11</w:t>
      </w:r>
      <w:r>
        <w:rPr>
          <w:rFonts w:ascii="Times New Roman" w:hAnsi="Times New Roman" w:cs="Times New Roman"/>
          <w:sz w:val="24"/>
          <w:szCs w:val="24"/>
          <w:lang w:val="lt-LT"/>
        </w:rPr>
        <w:t xml:space="preserve"> d.</w:t>
      </w:r>
    </w:p>
    <w:p w:rsidR="00AF7A40" w:rsidRPr="00574336" w:rsidRDefault="00BA4C44">
      <w:pPr>
        <w:jc w:val="both"/>
        <w:rPr>
          <w:rFonts w:ascii="Times New Roman" w:hAnsi="Times New Roman" w:cs="Times New Roman"/>
          <w:sz w:val="24"/>
          <w:szCs w:val="24"/>
        </w:rPr>
      </w:pPr>
      <w:r>
        <w:rPr>
          <w:rFonts w:ascii="Times New Roman" w:hAnsi="Times New Roman" w:cs="Times New Roman"/>
          <w:sz w:val="24"/>
          <w:szCs w:val="24"/>
          <w:lang w:val="lt-LT"/>
        </w:rPr>
        <w:t xml:space="preserve">                                                                                                           nutarimu Nr.</w:t>
      </w:r>
      <w:r>
        <w:rPr>
          <w:rFonts w:ascii="Times New Roman" w:eastAsiaTheme="minorHAnsi" w:hAnsi="Times New Roman" w:cs="Times New Roman"/>
          <w:sz w:val="24"/>
          <w:szCs w:val="24"/>
          <w:lang w:val="lt-LT" w:eastAsia="ar-SA"/>
        </w:rPr>
        <w:t xml:space="preserve"> </w:t>
      </w:r>
      <w:r w:rsidR="00574336">
        <w:rPr>
          <w:rFonts w:ascii="Times New Roman" w:hAnsi="Times New Roman" w:cs="Times New Roman"/>
          <w:sz w:val="24"/>
          <w:szCs w:val="24"/>
          <w:lang w:val="lt-LT"/>
        </w:rPr>
        <w:t>STS-</w:t>
      </w:r>
      <w:r w:rsidR="00574336">
        <w:rPr>
          <w:rFonts w:ascii="Times New Roman" w:hAnsi="Times New Roman" w:cs="Times New Roman"/>
          <w:sz w:val="24"/>
          <w:szCs w:val="24"/>
        </w:rPr>
        <w:t>2</w:t>
      </w:r>
      <w:bookmarkStart w:id="0" w:name="_GoBack"/>
      <w:bookmarkEnd w:id="0"/>
    </w:p>
    <w:p w:rsidR="00AF7A40" w:rsidRDefault="00AF7A40">
      <w:pPr>
        <w:rPr>
          <w:rFonts w:ascii="Times New Roman" w:eastAsia="SimSun" w:hAnsi="Times New Roman" w:cs="Times New Roman"/>
          <w:b/>
          <w:bCs/>
          <w:sz w:val="24"/>
          <w:szCs w:val="24"/>
          <w:lang w:val="lt-LT"/>
        </w:rPr>
      </w:pPr>
    </w:p>
    <w:p w:rsidR="00AF7A40" w:rsidRDefault="00BA4C44">
      <w:pPr>
        <w:jc w:val="center"/>
        <w:rPr>
          <w:rFonts w:ascii="Times New Roman" w:eastAsia="SimSun" w:hAnsi="Times New Roman" w:cs="Times New Roman"/>
          <w:sz w:val="24"/>
          <w:szCs w:val="24"/>
          <w:lang w:val="lt-LT"/>
        </w:rPr>
      </w:pPr>
      <w:r>
        <w:rPr>
          <w:rFonts w:ascii="Times New Roman" w:eastAsia="SimSun" w:hAnsi="Times New Roman" w:cs="Times New Roman"/>
          <w:b/>
          <w:bCs/>
          <w:sz w:val="24"/>
          <w:szCs w:val="24"/>
          <w:lang w:val="lt-LT"/>
        </w:rPr>
        <w:t>Nacionalinės šeimos tarybos kalendorinis 2022 m. veiklos plana</w:t>
      </w:r>
      <w:r>
        <w:rPr>
          <w:rFonts w:ascii="Times New Roman" w:eastAsia="SimSun" w:hAnsi="Times New Roman" w:cs="Times New Roman"/>
          <w:sz w:val="24"/>
          <w:szCs w:val="24"/>
          <w:lang w:val="lt-LT"/>
        </w:rPr>
        <w:t>s</w:t>
      </w:r>
    </w:p>
    <w:p w:rsidR="00AF7A40" w:rsidRDefault="00AF7A40">
      <w:pPr>
        <w:rPr>
          <w:rFonts w:ascii="Times New Roman" w:eastAsia="SimSun" w:hAnsi="Times New Roman" w:cs="Times New Roman"/>
          <w:sz w:val="24"/>
          <w:szCs w:val="24"/>
          <w:lang w:val="lt-LT"/>
        </w:rPr>
      </w:pPr>
    </w:p>
    <w:tbl>
      <w:tblPr>
        <w:tblStyle w:val="Lentelstinklelis"/>
        <w:tblW w:w="0" w:type="auto"/>
        <w:tblLook w:val="04A0" w:firstRow="1" w:lastRow="0" w:firstColumn="1" w:lastColumn="0" w:noHBand="0" w:noVBand="1"/>
      </w:tblPr>
      <w:tblGrid>
        <w:gridCol w:w="2605"/>
        <w:gridCol w:w="5649"/>
        <w:gridCol w:w="1374"/>
      </w:tblGrid>
      <w:tr w:rsidR="00AF7A40">
        <w:tc>
          <w:tcPr>
            <w:tcW w:w="2605" w:type="dxa"/>
            <w:tcBorders>
              <w:bottom w:val="nil"/>
            </w:tcBorders>
          </w:tcPr>
          <w:p w:rsidR="00AF7A40" w:rsidRDefault="00BA4C44">
            <w:pPr>
              <w:rPr>
                <w:rFonts w:ascii="Times New Roman" w:eastAsia="SimSun" w:hAnsi="Times New Roman" w:cs="Times New Roman"/>
                <w:sz w:val="24"/>
                <w:szCs w:val="24"/>
                <w:lang w:val="lt-LT"/>
              </w:rPr>
            </w:pPr>
            <w:r>
              <w:rPr>
                <w:rFonts w:ascii="Times New Roman" w:eastAsia="SimSun" w:hAnsi="Times New Roman" w:cs="Times New Roman"/>
                <w:sz w:val="24"/>
                <w:szCs w:val="24"/>
                <w:lang w:val="lt-LT"/>
              </w:rPr>
              <w:t>Tema/Funkcija</w:t>
            </w:r>
          </w:p>
        </w:tc>
        <w:tc>
          <w:tcPr>
            <w:tcW w:w="5649" w:type="dxa"/>
            <w:tcBorders>
              <w:bottom w:val="nil"/>
            </w:tcBorders>
          </w:tcPr>
          <w:p w:rsidR="00AF7A40" w:rsidRDefault="00BA4C44">
            <w:pPr>
              <w:rPr>
                <w:rFonts w:ascii="Times New Roman" w:eastAsia="SimSun" w:hAnsi="Times New Roman" w:cs="Times New Roman"/>
                <w:sz w:val="24"/>
                <w:szCs w:val="24"/>
                <w:lang w:val="lt-LT"/>
              </w:rPr>
            </w:pPr>
            <w:r>
              <w:rPr>
                <w:rFonts w:ascii="Times New Roman" w:eastAsia="SimSun" w:hAnsi="Times New Roman" w:cs="Times New Roman"/>
                <w:sz w:val="24"/>
                <w:szCs w:val="24"/>
                <w:lang w:val="lt-LT"/>
              </w:rPr>
              <w:t>Darbas/Priemonės</w:t>
            </w:r>
          </w:p>
        </w:tc>
        <w:tc>
          <w:tcPr>
            <w:tcW w:w="1374" w:type="dxa"/>
            <w:tcBorders>
              <w:bottom w:val="nil"/>
            </w:tcBorders>
          </w:tcPr>
          <w:p w:rsidR="00AF7A40" w:rsidRDefault="00BA4C44">
            <w:pPr>
              <w:rPr>
                <w:rFonts w:ascii="Times New Roman" w:eastAsia="SimSun" w:hAnsi="Times New Roman" w:cs="Times New Roman"/>
                <w:sz w:val="24"/>
                <w:szCs w:val="24"/>
                <w:lang w:val="lt-LT"/>
              </w:rPr>
            </w:pPr>
            <w:r>
              <w:rPr>
                <w:rFonts w:ascii="Times New Roman" w:eastAsia="SimSun" w:hAnsi="Times New Roman" w:cs="Times New Roman"/>
                <w:sz w:val="24"/>
                <w:szCs w:val="24"/>
                <w:lang w:val="lt-LT"/>
              </w:rPr>
              <w:t xml:space="preserve"> Terminas</w:t>
            </w:r>
          </w:p>
        </w:tc>
      </w:tr>
      <w:tr w:rsidR="00AF7A40">
        <w:tc>
          <w:tcPr>
            <w:tcW w:w="2605" w:type="dxa"/>
            <w:tcBorders>
              <w:top w:val="nil"/>
              <w:bottom w:val="single" w:sz="4" w:space="0" w:color="auto"/>
            </w:tcBorders>
          </w:tcPr>
          <w:p w:rsidR="00AF7A40" w:rsidRDefault="00AF7A40">
            <w:pPr>
              <w:rPr>
                <w:rFonts w:ascii="Times New Roman" w:eastAsia="SimSun" w:hAnsi="Times New Roman" w:cs="Times New Roman"/>
                <w:sz w:val="24"/>
                <w:szCs w:val="24"/>
                <w:lang w:val="lt-LT"/>
              </w:rPr>
            </w:pPr>
          </w:p>
        </w:tc>
        <w:tc>
          <w:tcPr>
            <w:tcW w:w="5649" w:type="dxa"/>
            <w:tcBorders>
              <w:top w:val="nil"/>
              <w:bottom w:val="single" w:sz="4" w:space="0" w:color="auto"/>
            </w:tcBorders>
          </w:tcPr>
          <w:p w:rsidR="00AF7A40" w:rsidRDefault="00AF7A40">
            <w:pPr>
              <w:rPr>
                <w:rFonts w:ascii="Times New Roman" w:eastAsia="SimSun" w:hAnsi="Times New Roman" w:cs="Times New Roman"/>
                <w:sz w:val="24"/>
                <w:szCs w:val="24"/>
                <w:lang w:val="lt-LT"/>
              </w:rPr>
            </w:pPr>
          </w:p>
        </w:tc>
        <w:tc>
          <w:tcPr>
            <w:tcW w:w="1374" w:type="dxa"/>
            <w:tcBorders>
              <w:top w:val="nil"/>
              <w:bottom w:val="single" w:sz="4" w:space="0" w:color="auto"/>
            </w:tcBorders>
          </w:tcPr>
          <w:p w:rsidR="00AF7A40" w:rsidRDefault="00AF7A40">
            <w:pPr>
              <w:rPr>
                <w:rFonts w:ascii="Times New Roman" w:eastAsia="SimSun" w:hAnsi="Times New Roman" w:cs="Times New Roman"/>
                <w:sz w:val="24"/>
                <w:szCs w:val="24"/>
                <w:lang w:val="lt-LT"/>
              </w:rPr>
            </w:pPr>
          </w:p>
        </w:tc>
      </w:tr>
      <w:tr w:rsidR="00AF7A40">
        <w:trPr>
          <w:trHeight w:val="624"/>
        </w:trPr>
        <w:tc>
          <w:tcPr>
            <w:tcW w:w="2605" w:type="dxa"/>
            <w:vMerge w:val="restart"/>
            <w:tcBorders>
              <w:top w:val="nil"/>
            </w:tcBorders>
          </w:tcPr>
          <w:p w:rsidR="00AF7A40" w:rsidRDefault="00BA4C44">
            <w:pPr>
              <w:jc w:val="left"/>
              <w:rPr>
                <w:rFonts w:ascii="Times New Roman" w:hAnsi="Times New Roman" w:cs="Times New Roman"/>
                <w:sz w:val="24"/>
                <w:szCs w:val="24"/>
                <w:lang w:val="lt-LT"/>
              </w:rPr>
            </w:pPr>
            <w:r>
              <w:rPr>
                <w:rFonts w:ascii="Times New Roman" w:hAnsi="Times New Roman" w:cs="Times New Roman"/>
                <w:sz w:val="24"/>
                <w:szCs w:val="24"/>
                <w:lang w:val="lt-LT"/>
              </w:rPr>
              <w:t>1. NŠT strateginis veiklos planavimas</w:t>
            </w:r>
          </w:p>
        </w:tc>
        <w:tc>
          <w:tcPr>
            <w:tcW w:w="5649" w:type="dxa"/>
            <w:tcBorders>
              <w:top w:val="nil"/>
              <w:bottom w:val="single" w:sz="4" w:space="0" w:color="auto"/>
            </w:tcBorders>
          </w:tcPr>
          <w:p w:rsidR="00AF7A40" w:rsidRDefault="00BA4C44">
            <w:pPr>
              <w:rPr>
                <w:rFonts w:ascii="Times New Roman" w:hAnsi="Times New Roman" w:cs="Times New Roman"/>
                <w:sz w:val="24"/>
                <w:szCs w:val="24"/>
                <w:lang w:val="lt-LT" w:eastAsia="lt-LT"/>
              </w:rPr>
            </w:pPr>
            <w:r>
              <w:rPr>
                <w:rFonts w:ascii="Times New Roman" w:hAnsi="Times New Roman" w:cs="Times New Roman"/>
                <w:sz w:val="24"/>
                <w:szCs w:val="24"/>
                <w:lang w:val="lt-LT"/>
              </w:rPr>
              <w:t xml:space="preserve">1.1. Parengti ir raštu </w:t>
            </w:r>
            <w:r>
              <w:rPr>
                <w:rFonts w:ascii="Times New Roman" w:hAnsi="Times New Roman" w:cs="Times New Roman"/>
                <w:sz w:val="24"/>
                <w:szCs w:val="24"/>
                <w:lang w:val="lt-LT" w:eastAsia="lt-LT"/>
              </w:rPr>
              <w:t xml:space="preserve">pateikti Seimui NŠT </w:t>
            </w:r>
            <w:r>
              <w:rPr>
                <w:rFonts w:ascii="Times New Roman" w:hAnsi="Times New Roman" w:cs="Times New Roman"/>
                <w:sz w:val="24"/>
                <w:szCs w:val="24"/>
                <w:lang w:val="lt-LT"/>
              </w:rPr>
              <w:t>2021  metų</w:t>
            </w:r>
            <w:r>
              <w:rPr>
                <w:rFonts w:ascii="Times New Roman" w:hAnsi="Times New Roman" w:cs="Times New Roman"/>
                <w:sz w:val="24"/>
                <w:szCs w:val="24"/>
                <w:lang w:val="lt-LT" w:eastAsia="lt-LT"/>
              </w:rPr>
              <w:t xml:space="preserve"> veiklos ataskaitą.</w:t>
            </w:r>
          </w:p>
        </w:tc>
        <w:tc>
          <w:tcPr>
            <w:tcW w:w="1374" w:type="dxa"/>
            <w:tcBorders>
              <w:top w:val="nil"/>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2022 m.</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iki kovo 1d.</w:t>
            </w:r>
          </w:p>
        </w:tc>
      </w:tr>
      <w:tr w:rsidR="00AF7A40">
        <w:trPr>
          <w:trHeight w:val="672"/>
        </w:trPr>
        <w:tc>
          <w:tcPr>
            <w:tcW w:w="2605" w:type="dxa"/>
            <w:vMerge/>
          </w:tcPr>
          <w:p w:rsidR="00AF7A40" w:rsidRDefault="00AF7A40">
            <w:pPr>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1.2. Patvirtinti NŠT 2022-2024 m. strateginį veiklos planą.</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 ketvirtis</w:t>
            </w:r>
          </w:p>
        </w:tc>
      </w:tr>
      <w:tr w:rsidR="00AF7A40">
        <w:trPr>
          <w:trHeight w:val="492"/>
        </w:trPr>
        <w:tc>
          <w:tcPr>
            <w:tcW w:w="2605" w:type="dxa"/>
            <w:vMerge/>
          </w:tcPr>
          <w:p w:rsidR="00AF7A40" w:rsidRDefault="00AF7A40">
            <w:pPr>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1.3. Sudaryti ir patvirtinti NŠT 2022 m. veiklos planą.</w:t>
            </w:r>
          </w:p>
          <w:p w:rsidR="00AF7A40" w:rsidRDefault="00AF7A40">
            <w:pPr>
              <w:ind w:hanging="30"/>
              <w:rPr>
                <w:rFonts w:ascii="Times New Roman" w:hAnsi="Times New Roman" w:cs="Times New Roman"/>
                <w:sz w:val="24"/>
                <w:szCs w:val="24"/>
                <w:lang w:val="lt-LT"/>
              </w:rPr>
            </w:pP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 ketvirtis</w:t>
            </w:r>
          </w:p>
        </w:tc>
      </w:tr>
      <w:tr w:rsidR="00AF7A40">
        <w:trPr>
          <w:trHeight w:val="880"/>
        </w:trPr>
        <w:tc>
          <w:tcPr>
            <w:tcW w:w="2605" w:type="dxa"/>
            <w:vMerge/>
            <w:tcBorders>
              <w:bottom w:val="single" w:sz="4" w:space="0" w:color="auto"/>
            </w:tcBorders>
          </w:tcPr>
          <w:p w:rsidR="00AF7A40" w:rsidRDefault="00AF7A40">
            <w:pPr>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ind w:hanging="30"/>
              <w:rPr>
                <w:rFonts w:ascii="Times New Roman" w:hAnsi="Times New Roman" w:cs="Times New Roman"/>
                <w:sz w:val="24"/>
                <w:szCs w:val="24"/>
                <w:lang w:val="lt-LT"/>
              </w:rPr>
            </w:pPr>
            <w:r>
              <w:rPr>
                <w:rFonts w:ascii="Times New Roman" w:hAnsi="Times New Roman" w:cs="Times New Roman"/>
                <w:sz w:val="24"/>
                <w:szCs w:val="24"/>
                <w:lang w:val="lt-LT" w:eastAsia="lt-LT"/>
              </w:rPr>
              <w:t xml:space="preserve">1.4. Parengti ir pateikti Seimui pranešimą apie šalies šeimų būklę ir šeimos politikos formavimo bei įgyvendinimo padėtį. </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2022 m.</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iki gegužės 1d.</w:t>
            </w:r>
          </w:p>
        </w:tc>
      </w:tr>
      <w:tr w:rsidR="00AF7A40">
        <w:trPr>
          <w:trHeight w:val="2292"/>
        </w:trPr>
        <w:tc>
          <w:tcPr>
            <w:tcW w:w="2605" w:type="dxa"/>
            <w:vMerge w:val="restart"/>
            <w:tcBorders>
              <w:top w:val="nil"/>
            </w:tcBorders>
          </w:tcPr>
          <w:p w:rsidR="00AF7A40" w:rsidRDefault="00BA4C44">
            <w:pPr>
              <w:ind w:right="60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2.  Dalyvavimas formuojant efektyvią šeimos politiką, šeimos politikos formavimo ir įgyvendinimo analizė, stebėsena ir vertinimas </w:t>
            </w:r>
          </w:p>
          <w:p w:rsidR="00AF7A40" w:rsidRDefault="00AF7A40">
            <w:pPr>
              <w:ind w:right="600"/>
              <w:jc w:val="left"/>
              <w:rPr>
                <w:rFonts w:ascii="Times New Roman" w:hAnsi="Times New Roman" w:cs="Times New Roman"/>
                <w:sz w:val="24"/>
                <w:szCs w:val="24"/>
                <w:lang w:val="lt-LT"/>
              </w:rPr>
            </w:pPr>
          </w:p>
        </w:tc>
        <w:tc>
          <w:tcPr>
            <w:tcW w:w="5649" w:type="dxa"/>
            <w:tcBorders>
              <w:top w:val="nil"/>
              <w:bottom w:val="single" w:sz="4" w:space="0" w:color="auto"/>
            </w:tcBorders>
          </w:tcPr>
          <w:p w:rsidR="00AF7A40" w:rsidRPr="00BA4C44" w:rsidRDefault="00BA4C44">
            <w:pPr>
              <w:rPr>
                <w:rFonts w:ascii="Times New Roman" w:hAnsi="Times New Roman" w:cs="Times New Roman"/>
                <w:bCs/>
                <w:sz w:val="24"/>
                <w:szCs w:val="24"/>
                <w:lang w:val="lt-LT"/>
              </w:rPr>
            </w:pPr>
            <w:r>
              <w:rPr>
                <w:rFonts w:ascii="Times New Roman" w:hAnsi="Times New Roman" w:cs="Times New Roman"/>
                <w:sz w:val="24"/>
                <w:szCs w:val="24"/>
                <w:lang w:val="lt-LT"/>
              </w:rPr>
              <w:t>2.1.</w:t>
            </w:r>
            <w:r>
              <w:rPr>
                <w:rFonts w:ascii="Times New Roman" w:eastAsia="Arial Unicode MS" w:hAnsi="Times New Roman" w:cs="Times New Roman"/>
                <w:bCs/>
                <w:sz w:val="24"/>
                <w:szCs w:val="24"/>
                <w:lang w:val="lt-LT" w:eastAsia="en-US"/>
              </w:rPr>
              <w:t xml:space="preserve"> </w:t>
            </w:r>
            <w:r w:rsidRPr="00BA4C44">
              <w:rPr>
                <w:rFonts w:ascii="Times New Roman" w:hAnsi="Times New Roman" w:cs="Times New Roman"/>
                <w:bCs/>
                <w:sz w:val="24"/>
                <w:szCs w:val="24"/>
                <w:lang w:val="lt-LT"/>
              </w:rPr>
              <w:t>Atlikti tyrimą dėl šeimai palankios aplinkos indekso kriterijų formavimo metodikos ir apibendrinti rezultatus.</w:t>
            </w:r>
          </w:p>
          <w:p w:rsidR="00AF7A40" w:rsidRDefault="00BA4C44">
            <w:pPr>
              <w:rPr>
                <w:rFonts w:ascii="Times New Roman" w:hAnsi="Times New Roman" w:cs="Times New Roman"/>
                <w:bCs/>
                <w:sz w:val="24"/>
                <w:szCs w:val="24"/>
                <w:lang w:val="lt-LT"/>
              </w:rPr>
            </w:pPr>
            <w:r w:rsidRPr="00BA4C44">
              <w:rPr>
                <w:rFonts w:ascii="Times New Roman" w:hAnsi="Times New Roman" w:cs="Times New Roman"/>
                <w:bCs/>
                <w:sz w:val="24"/>
                <w:szCs w:val="24"/>
                <w:lang w:val="lt-LT"/>
              </w:rPr>
              <w:t>2.1.1. Pateikti kriterijus (tyrimo duomenų pagrindu), kuriais remiantis būtų galima inicijuoti Lietuvoje šeimai palankios aplinkos  savivaldybėse indeksavimo sistemos sukūrimą. Ji būtų naudojama nuolatiniam šeimos politikos analizavimui, siekiant matyti šeimos gyvenimo kokybės  bei demografinių duomenų kitimo dinamiką.</w:t>
            </w:r>
          </w:p>
        </w:tc>
        <w:tc>
          <w:tcPr>
            <w:tcW w:w="1374" w:type="dxa"/>
            <w:tcBorders>
              <w:top w:val="nil"/>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Style w:val="Komentaronuoroda"/>
                <w:rFonts w:ascii="Times New Roman" w:hAnsi="Times New Roman" w:cs="Times New Roman"/>
                <w:sz w:val="24"/>
                <w:szCs w:val="24"/>
                <w:lang w:val="lt-LT"/>
              </w:rPr>
            </w:pPr>
            <w:r>
              <w:rPr>
                <w:rFonts w:ascii="Times New Roman" w:hAnsi="Times New Roman" w:cs="Times New Roman"/>
                <w:sz w:val="24"/>
                <w:szCs w:val="24"/>
                <w:lang w:val="lt-LT"/>
              </w:rPr>
              <w:t>I-II ketvirčiai</w:t>
            </w:r>
          </w:p>
          <w:p w:rsidR="00AF7A40" w:rsidRDefault="00AF7A40">
            <w:pPr>
              <w:rPr>
                <w:rFonts w:ascii="Times New Roman" w:hAnsi="Times New Roman" w:cs="Times New Roman"/>
                <w:sz w:val="24"/>
                <w:szCs w:val="24"/>
                <w:lang w:val="lt-LT"/>
              </w:rPr>
            </w:pPr>
          </w:p>
          <w:p w:rsidR="00AF7A40" w:rsidRDefault="00AF7A40">
            <w:pPr>
              <w:rPr>
                <w:rFonts w:ascii="Times New Roman" w:hAnsi="Times New Roman" w:cs="Times New Roman"/>
                <w:sz w:val="24"/>
                <w:szCs w:val="24"/>
                <w:lang w:val="lt-LT"/>
              </w:rPr>
            </w:pPr>
          </w:p>
          <w:p w:rsidR="00AF7A40" w:rsidRDefault="00AF7A40">
            <w:pPr>
              <w:rPr>
                <w:rFonts w:ascii="Times New Roman" w:hAnsi="Times New Roman" w:cs="Times New Roman"/>
                <w:sz w:val="24"/>
                <w:szCs w:val="24"/>
                <w:lang w:val="lt-LT"/>
              </w:rPr>
            </w:pPr>
          </w:p>
          <w:p w:rsidR="00AF7A40" w:rsidRDefault="00AF7A40">
            <w:pPr>
              <w:rPr>
                <w:rFonts w:ascii="Times New Roman" w:hAnsi="Times New Roman" w:cs="Times New Roman"/>
                <w:sz w:val="24"/>
                <w:szCs w:val="24"/>
                <w:lang w:val="lt-LT"/>
              </w:rPr>
            </w:pPr>
          </w:p>
          <w:p w:rsidR="00AF7A40" w:rsidRDefault="00AF7A40">
            <w:pPr>
              <w:rPr>
                <w:rStyle w:val="Komentaronuoroda"/>
                <w:rFonts w:ascii="Times New Roman" w:hAnsi="Times New Roman" w:cs="Times New Roman"/>
                <w:sz w:val="24"/>
                <w:szCs w:val="24"/>
                <w:lang w:val="lt-LT"/>
              </w:rPr>
            </w:pPr>
          </w:p>
        </w:tc>
      </w:tr>
      <w:tr w:rsidR="00AF7A40">
        <w:trPr>
          <w:trHeight w:val="984"/>
        </w:trPr>
        <w:tc>
          <w:tcPr>
            <w:tcW w:w="2605" w:type="dxa"/>
            <w:vMerge/>
          </w:tcPr>
          <w:p w:rsidR="00AF7A40" w:rsidRDefault="00AF7A40">
            <w:pPr>
              <w:ind w:right="600"/>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bCs/>
                <w:sz w:val="24"/>
                <w:szCs w:val="24"/>
                <w:lang w:val="lt-LT"/>
              </w:rPr>
            </w:pPr>
            <w:r>
              <w:rPr>
                <w:rFonts w:ascii="Times New Roman" w:hAnsi="Times New Roman" w:cs="Times New Roman"/>
                <w:bCs/>
                <w:sz w:val="24"/>
                <w:szCs w:val="24"/>
                <w:lang w:val="lt-LT"/>
              </w:rPr>
              <w:t>2.2. Organizuoti konferenciją „Valstybės vykdomos socialinės ir ekonominės politikos ryšys su šalies demografinės raidos tendencijomis“.</w:t>
            </w:r>
          </w:p>
        </w:tc>
        <w:tc>
          <w:tcPr>
            <w:tcW w:w="1374" w:type="dxa"/>
            <w:tcBorders>
              <w:top w:val="single" w:sz="4" w:space="0" w:color="auto"/>
              <w:bottom w:val="single" w:sz="4" w:space="0" w:color="auto"/>
            </w:tcBorders>
          </w:tcPr>
          <w:p w:rsidR="00AF7A40" w:rsidRDefault="00BA4C44">
            <w:pPr>
              <w:rPr>
                <w:rStyle w:val="Komentaronuoroda"/>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Style w:val="Komentaronuoroda"/>
                <w:rFonts w:ascii="Times New Roman" w:hAnsi="Times New Roman" w:cs="Times New Roman"/>
                <w:sz w:val="24"/>
                <w:szCs w:val="24"/>
                <w:lang w:val="lt-LT"/>
              </w:rPr>
            </w:pPr>
            <w:r>
              <w:rPr>
                <w:rStyle w:val="Komentaronuoroda"/>
                <w:rFonts w:ascii="Times New Roman" w:hAnsi="Times New Roman" w:cs="Times New Roman"/>
                <w:sz w:val="24"/>
                <w:szCs w:val="24"/>
                <w:lang w:val="lt-LT"/>
              </w:rPr>
              <w:t>III ketvirtis</w:t>
            </w:r>
          </w:p>
          <w:p w:rsidR="00AF7A40" w:rsidRDefault="00AF7A40">
            <w:pPr>
              <w:rPr>
                <w:rFonts w:ascii="Times New Roman" w:hAnsi="Times New Roman" w:cs="Times New Roman"/>
                <w:sz w:val="24"/>
                <w:szCs w:val="24"/>
                <w:lang w:val="lt-LT"/>
              </w:rPr>
            </w:pPr>
          </w:p>
        </w:tc>
      </w:tr>
      <w:tr w:rsidR="00AF7A40">
        <w:trPr>
          <w:trHeight w:val="1188"/>
        </w:trPr>
        <w:tc>
          <w:tcPr>
            <w:tcW w:w="2605" w:type="dxa"/>
            <w:vMerge/>
          </w:tcPr>
          <w:p w:rsidR="00AF7A40" w:rsidRDefault="00AF7A40">
            <w:pPr>
              <w:ind w:right="600"/>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bCs/>
                <w:sz w:val="24"/>
                <w:szCs w:val="24"/>
                <w:lang w:val="lt-LT"/>
              </w:rPr>
            </w:pPr>
            <w:r>
              <w:rPr>
                <w:rFonts w:ascii="Times New Roman" w:hAnsi="Times New Roman" w:cs="Times New Roman"/>
                <w:bCs/>
                <w:sz w:val="24"/>
                <w:szCs w:val="24"/>
                <w:lang w:val="lt-LT"/>
              </w:rPr>
              <w:t>2.3. Surengti NŠT, Šeimos tarybų ir Šeimos komisijų  susitikimą, siekiant sukurti savivaldybėse tinklą, per kurį būtų galima vykdyti informacijos sklaidą, aktyvinant bendruomenes stiprinti šeimos institutą.</w:t>
            </w:r>
          </w:p>
        </w:tc>
        <w:tc>
          <w:tcPr>
            <w:tcW w:w="1374" w:type="dxa"/>
            <w:tcBorders>
              <w:top w:val="single" w:sz="4" w:space="0" w:color="auto"/>
              <w:bottom w:val="single" w:sz="4" w:space="0" w:color="auto"/>
            </w:tcBorders>
          </w:tcPr>
          <w:p w:rsidR="00AF7A40" w:rsidRDefault="00BA4C44">
            <w:pPr>
              <w:rPr>
                <w:rStyle w:val="Komentaronuoroda"/>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Style w:val="Komentaronuoroda"/>
                <w:rFonts w:ascii="Times New Roman" w:hAnsi="Times New Roman" w:cs="Times New Roman"/>
                <w:sz w:val="24"/>
                <w:szCs w:val="24"/>
                <w:lang w:val="lt-LT"/>
              </w:rPr>
            </w:pPr>
            <w:r>
              <w:rPr>
                <w:rStyle w:val="Komentaronuoroda"/>
                <w:rFonts w:ascii="Times New Roman" w:hAnsi="Times New Roman" w:cs="Times New Roman"/>
                <w:sz w:val="24"/>
                <w:szCs w:val="24"/>
                <w:lang w:val="lt-LT"/>
              </w:rPr>
              <w:t>III ketvirtis</w:t>
            </w:r>
          </w:p>
          <w:p w:rsidR="00AF7A40" w:rsidRDefault="00AF7A40">
            <w:pPr>
              <w:rPr>
                <w:rFonts w:ascii="Times New Roman" w:hAnsi="Times New Roman" w:cs="Times New Roman"/>
                <w:sz w:val="24"/>
                <w:szCs w:val="24"/>
                <w:lang w:val="lt-LT"/>
              </w:rPr>
            </w:pPr>
          </w:p>
        </w:tc>
      </w:tr>
      <w:tr w:rsidR="00AF7A40">
        <w:trPr>
          <w:trHeight w:val="756"/>
        </w:trPr>
        <w:tc>
          <w:tcPr>
            <w:tcW w:w="2605" w:type="dxa"/>
            <w:vMerge/>
            <w:tcBorders>
              <w:bottom w:val="single" w:sz="4" w:space="0" w:color="auto"/>
            </w:tcBorders>
          </w:tcPr>
          <w:p w:rsidR="00AF7A40" w:rsidRDefault="00AF7A40">
            <w:pPr>
              <w:ind w:right="600"/>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bCs/>
                <w:sz w:val="24"/>
                <w:szCs w:val="24"/>
              </w:rPr>
            </w:pPr>
            <w:r>
              <w:rPr>
                <w:rFonts w:ascii="Times New Roman" w:hAnsi="Times New Roman" w:cs="Times New Roman"/>
                <w:bCs/>
                <w:sz w:val="24"/>
                <w:szCs w:val="24"/>
                <w:lang w:val="lt-LT"/>
              </w:rPr>
              <w:t xml:space="preserve">2.4. </w:t>
            </w:r>
            <w:r w:rsidRPr="00BA4C44">
              <w:rPr>
                <w:rFonts w:ascii="Times New Roman" w:hAnsi="Times New Roman" w:cs="Times New Roman"/>
                <w:bCs/>
                <w:sz w:val="24"/>
                <w:szCs w:val="24"/>
                <w:lang w:val="lt-LT"/>
              </w:rPr>
              <w:t>Surengti bendrą NŠT, Nacionalinės sveikatos tarybos, Lietuvos švietimo tarybos posėdį</w:t>
            </w:r>
            <w:r w:rsidRPr="00BA4C44">
              <w:rPr>
                <w:rFonts w:ascii="Times New Roman" w:hAnsi="Times New Roman" w:cs="Times New Roman"/>
                <w:b/>
                <w:bCs/>
                <w:sz w:val="24"/>
                <w:szCs w:val="24"/>
                <w:lang w:val="lt-LT"/>
              </w:rPr>
              <w:t>,</w:t>
            </w:r>
            <w:r w:rsidRPr="00BA4C44">
              <w:rPr>
                <w:rFonts w:ascii="Times New Roman" w:hAnsi="Times New Roman" w:cs="Times New Roman"/>
                <w:b/>
                <w:bCs/>
                <w:sz w:val="24"/>
                <w:szCs w:val="24"/>
                <w:shd w:val="clear" w:color="auto" w:fill="FFFFFF"/>
                <w:lang w:val="lt-LT"/>
              </w:rPr>
              <w:t xml:space="preserve"> </w:t>
            </w:r>
            <w:r w:rsidRPr="00BA4C44">
              <w:rPr>
                <w:rFonts w:ascii="Times New Roman" w:hAnsi="Times New Roman" w:cs="Times New Roman"/>
                <w:bCs/>
                <w:sz w:val="24"/>
                <w:szCs w:val="24"/>
                <w:shd w:val="clear" w:color="auto" w:fill="FFFFFF"/>
                <w:lang w:val="lt-LT"/>
              </w:rPr>
              <w:t xml:space="preserve">siekiant </w:t>
            </w:r>
            <w:r w:rsidRPr="00BA4C44">
              <w:rPr>
                <w:rFonts w:ascii="Times New Roman" w:hAnsi="Times New Roman" w:cs="Times New Roman"/>
                <w:bCs/>
                <w:sz w:val="24"/>
                <w:szCs w:val="24"/>
                <w:lang w:val="lt-LT"/>
              </w:rPr>
              <w:t>aptarti bendradarbiavimo galimybes ir  pasidalinti savo gerąja patirtimi.</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III-IV ketvirčiai</w:t>
            </w:r>
          </w:p>
        </w:tc>
      </w:tr>
      <w:tr w:rsidR="00AF7A40">
        <w:trPr>
          <w:trHeight w:val="732"/>
        </w:trPr>
        <w:tc>
          <w:tcPr>
            <w:tcW w:w="2605" w:type="dxa"/>
            <w:vMerge w:val="restart"/>
            <w:tcBorders>
              <w:top w:val="nil"/>
            </w:tcBorders>
          </w:tcPr>
          <w:p w:rsidR="00AF7A40" w:rsidRDefault="00BA4C44">
            <w:pPr>
              <w:tabs>
                <w:tab w:val="left" w:pos="600"/>
                <w:tab w:val="left" w:pos="884"/>
              </w:tabs>
              <w:jc w:val="left"/>
              <w:rPr>
                <w:rFonts w:ascii="Times New Roman" w:hAnsi="Times New Roman" w:cs="Times New Roman"/>
                <w:sz w:val="24"/>
                <w:szCs w:val="24"/>
                <w:lang w:val="lt-LT"/>
              </w:rPr>
            </w:pPr>
            <w:r>
              <w:rPr>
                <w:rFonts w:ascii="Times New Roman" w:hAnsi="Times New Roman" w:cs="Times New Roman"/>
                <w:sz w:val="24"/>
                <w:szCs w:val="24"/>
                <w:lang w:val="lt-LT"/>
              </w:rPr>
              <w:t>3. Pasiūlymų teikimas</w:t>
            </w:r>
          </w:p>
          <w:p w:rsidR="00AF7A40" w:rsidRDefault="00BA4C44">
            <w:pPr>
              <w:jc w:val="left"/>
              <w:rPr>
                <w:rFonts w:ascii="Times New Roman" w:hAnsi="Times New Roman" w:cs="Times New Roman"/>
                <w:sz w:val="24"/>
                <w:szCs w:val="24"/>
                <w:lang w:val="lt-LT"/>
              </w:rPr>
            </w:pPr>
            <w:r>
              <w:rPr>
                <w:rFonts w:ascii="Times New Roman" w:hAnsi="Times New Roman" w:cs="Times New Roman"/>
                <w:sz w:val="24"/>
                <w:szCs w:val="24"/>
                <w:lang w:val="lt-LT"/>
              </w:rPr>
              <w:t>Seimui, Vyriausybei, ministerijoms aktualiais šeimos politikos ir vaiko teisių apsaugos bei vaiko gerovės užtikrinimo ir teisės aktų tobulinimo klausimais</w:t>
            </w:r>
          </w:p>
        </w:tc>
        <w:tc>
          <w:tcPr>
            <w:tcW w:w="5649" w:type="dxa"/>
            <w:tcBorders>
              <w:top w:val="nil"/>
              <w:bottom w:val="single" w:sz="4" w:space="0" w:color="auto"/>
            </w:tcBorders>
          </w:tcPr>
          <w:p w:rsidR="00AF7A40" w:rsidRDefault="00BA4C44">
            <w:pPr>
              <w:rPr>
                <w:rFonts w:ascii="Times New Roman" w:hAnsi="Times New Roman" w:cs="Times New Roman"/>
                <w:sz w:val="24"/>
                <w:szCs w:val="24"/>
              </w:rPr>
            </w:pPr>
            <w:r>
              <w:rPr>
                <w:rFonts w:ascii="Times New Roman" w:hAnsi="Times New Roman" w:cs="Times New Roman"/>
                <w:sz w:val="24"/>
                <w:szCs w:val="24"/>
                <w:lang w:val="lt-LT"/>
              </w:rPr>
              <w:t>3.1. Vertinti teisės aktų ir jų pakeitimų projektus  šeimai palankios aplinkos formavimo požiūriu</w:t>
            </w:r>
            <w:r>
              <w:rPr>
                <w:rFonts w:ascii="Times New Roman" w:hAnsi="Times New Roman" w:cs="Times New Roman"/>
                <w:sz w:val="24"/>
                <w:szCs w:val="24"/>
              </w:rPr>
              <w:t>.</w:t>
            </w:r>
          </w:p>
          <w:p w:rsidR="00AF7A40" w:rsidRDefault="00AF7A40">
            <w:pPr>
              <w:rPr>
                <w:rFonts w:ascii="Times New Roman" w:hAnsi="Times New Roman" w:cs="Times New Roman"/>
                <w:sz w:val="24"/>
                <w:szCs w:val="24"/>
                <w:lang w:val="lt-LT"/>
              </w:rPr>
            </w:pPr>
          </w:p>
        </w:tc>
        <w:tc>
          <w:tcPr>
            <w:tcW w:w="1374" w:type="dxa"/>
            <w:tcBorders>
              <w:top w:val="nil"/>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744"/>
        </w:trPr>
        <w:tc>
          <w:tcPr>
            <w:tcW w:w="2605" w:type="dxa"/>
            <w:vMerge/>
          </w:tcPr>
          <w:p w:rsidR="00AF7A40" w:rsidRDefault="00AF7A40">
            <w:pPr>
              <w:tabs>
                <w:tab w:val="left" w:pos="600"/>
                <w:tab w:val="left" w:pos="884"/>
              </w:tabs>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sz w:val="24"/>
                <w:szCs w:val="24"/>
              </w:rPr>
            </w:pPr>
            <w:r>
              <w:rPr>
                <w:rFonts w:ascii="Times New Roman" w:hAnsi="Times New Roman" w:cs="Times New Roman"/>
                <w:sz w:val="24"/>
                <w:szCs w:val="24"/>
                <w:lang w:val="lt-LT"/>
              </w:rPr>
              <w:t>3.2. Rengti apskritojo stalo diskusijas dėl teisės aktų reglamentavimo šeimos politikos srityje</w:t>
            </w:r>
            <w:r>
              <w:rPr>
                <w:rFonts w:ascii="Times New Roman" w:hAnsi="Times New Roman" w:cs="Times New Roman"/>
                <w:sz w:val="24"/>
                <w:szCs w:val="24"/>
              </w:rPr>
              <w:t>.</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1188"/>
        </w:trPr>
        <w:tc>
          <w:tcPr>
            <w:tcW w:w="2605" w:type="dxa"/>
            <w:vMerge/>
          </w:tcPr>
          <w:p w:rsidR="00AF7A40" w:rsidRDefault="00AF7A40">
            <w:pPr>
              <w:tabs>
                <w:tab w:val="left" w:pos="600"/>
                <w:tab w:val="left" w:pos="884"/>
              </w:tabs>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3.3. Dalyvauti Seimo komitetų, komisijų, Vyriausybės, ministerijų, Vyriausybės įstaigų posėdžiuose ir kituose renginiuose, kai svarstomi su šeima susiję klausimai.</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1560"/>
        </w:trPr>
        <w:tc>
          <w:tcPr>
            <w:tcW w:w="2605" w:type="dxa"/>
            <w:vMerge w:val="restart"/>
            <w:tcBorders>
              <w:top w:val="single" w:sz="4" w:space="0" w:color="auto"/>
            </w:tcBorders>
          </w:tcPr>
          <w:p w:rsidR="00AF7A40" w:rsidRDefault="00BA4C44">
            <w:pPr>
              <w:ind w:right="458"/>
              <w:jc w:val="left"/>
              <w:rPr>
                <w:rFonts w:ascii="Times New Roman" w:hAnsi="Times New Roman" w:cs="Times New Roman"/>
                <w:sz w:val="24"/>
                <w:szCs w:val="24"/>
                <w:lang w:val="lt-LT"/>
              </w:rPr>
            </w:pPr>
            <w:r>
              <w:rPr>
                <w:rFonts w:ascii="Times New Roman" w:hAnsi="Times New Roman" w:cs="Times New Roman"/>
                <w:sz w:val="24"/>
                <w:szCs w:val="24"/>
                <w:lang w:val="lt-LT"/>
              </w:rPr>
              <w:lastRenderedPageBreak/>
              <w:t>4. Pasiūlymų Vyriausybei ir Seimui teikimas dėl įstatymų ir kitų teisės aktų projektų, stiprinant destruktyvaus šeimos narių elgesio – girtavimo, narkotikų vartojimo, smurto, prievartos – užkardymą ir prevenciją;</w:t>
            </w:r>
          </w:p>
        </w:tc>
        <w:tc>
          <w:tcPr>
            <w:tcW w:w="5649"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4.1. Teikti pasiūlymus Socialinės apsaugos ir darbo ministerijai dėl Lietuvos Respublikos socialinių paslaugų įstatymo įgyvendinamųjų teisės aktų, susijusių su prevencinių paslaugų šeimai</w:t>
            </w:r>
            <w:r>
              <w:rPr>
                <w:rFonts w:ascii="Times New Roman" w:eastAsia="Times New Roman" w:hAnsi="Times New Roman" w:cs="Times New Roman"/>
                <w:sz w:val="24"/>
                <w:szCs w:val="24"/>
                <w:lang w:val="lt-LT" w:eastAsia="en-GB"/>
              </w:rPr>
              <w:t xml:space="preserve"> </w:t>
            </w:r>
            <w:r>
              <w:rPr>
                <w:rFonts w:ascii="Times New Roman" w:hAnsi="Times New Roman" w:cs="Times New Roman"/>
                <w:sz w:val="24"/>
                <w:szCs w:val="24"/>
                <w:lang w:val="lt-LT"/>
              </w:rPr>
              <w:t>prieinamumo didinimu ir plėtra.</w:t>
            </w:r>
          </w:p>
        </w:tc>
        <w:tc>
          <w:tcPr>
            <w:tcW w:w="1374"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2292"/>
        </w:trPr>
        <w:tc>
          <w:tcPr>
            <w:tcW w:w="2605" w:type="dxa"/>
            <w:vMerge/>
          </w:tcPr>
          <w:p w:rsidR="00AF7A40" w:rsidRDefault="00AF7A40">
            <w:pPr>
              <w:ind w:right="458"/>
              <w:rPr>
                <w:rFonts w:ascii="Times New Roman" w:hAnsi="Times New Roman" w:cs="Times New Roman"/>
                <w:sz w:val="24"/>
                <w:szCs w:val="24"/>
                <w:lang w:val="lt-LT"/>
              </w:rPr>
            </w:pPr>
          </w:p>
        </w:tc>
        <w:tc>
          <w:tcPr>
            <w:tcW w:w="5649"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4.2. Surengti apskritojo stalo diskusiją „Nepilnamečių alkoholio ir kitų psichotropinių medžiagų vartojimas, prevencijos ir efektyvios intervencijos galimybės savivaldybėse ir Lietuvoje. </w:t>
            </w:r>
            <w:proofErr w:type="spellStart"/>
            <w:r>
              <w:rPr>
                <w:rFonts w:ascii="Times New Roman" w:hAnsi="Times New Roman" w:cs="Times New Roman"/>
                <w:sz w:val="24"/>
                <w:szCs w:val="24"/>
                <w:lang w:val="lt-LT"/>
              </w:rPr>
              <w:t>Tarpinstitucinio</w:t>
            </w:r>
            <w:proofErr w:type="spellEnd"/>
            <w:r>
              <w:rPr>
                <w:rFonts w:ascii="Times New Roman" w:hAnsi="Times New Roman" w:cs="Times New Roman"/>
                <w:sz w:val="24"/>
                <w:szCs w:val="24"/>
                <w:lang w:val="lt-LT"/>
              </w:rPr>
              <w:t xml:space="preserve"> bendradarbiavimo stiprinimas“. </w:t>
            </w:r>
          </w:p>
        </w:tc>
        <w:tc>
          <w:tcPr>
            <w:tcW w:w="1374"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1476"/>
        </w:trPr>
        <w:tc>
          <w:tcPr>
            <w:tcW w:w="2605" w:type="dxa"/>
            <w:vMerge w:val="restart"/>
            <w:tcBorders>
              <w:top w:val="single" w:sz="4" w:space="0" w:color="auto"/>
            </w:tcBorders>
          </w:tcPr>
          <w:p w:rsidR="00AF7A40" w:rsidRDefault="00BA4C44">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5. Demografinės raidos tendencijų, jų ryšio su valstybės vykdoma socialine ir ekonomine politika analizė ir vertinimas, </w:t>
            </w:r>
            <w:r>
              <w:rPr>
                <w:rFonts w:ascii="Times New Roman" w:hAnsi="Times New Roman" w:cs="Times New Roman"/>
                <w:bCs/>
                <w:sz w:val="24"/>
                <w:szCs w:val="24"/>
                <w:lang w:val="lt-LT"/>
              </w:rPr>
              <w:t xml:space="preserve"> </w:t>
            </w:r>
            <w:r>
              <w:rPr>
                <w:rFonts w:ascii="Times New Roman" w:hAnsi="Times New Roman" w:cs="Times New Roman"/>
                <w:sz w:val="24"/>
                <w:szCs w:val="24"/>
                <w:lang w:val="lt-LT"/>
              </w:rPr>
              <w:t>informacijos teikimas  Seimui.</w:t>
            </w:r>
          </w:p>
        </w:tc>
        <w:tc>
          <w:tcPr>
            <w:tcW w:w="5649"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5.1. Surinkti pasiūlymus dėl darbo ir šeimos įsipareigojimų derinimo problemų sprendimo, siekiant  sudaryti palankias darbo sąlygas suaugusiems asmenims</w:t>
            </w:r>
            <w:r>
              <w:rPr>
                <w:rFonts w:ascii="Times New Roman" w:hAnsi="Times New Roman" w:cs="Times New Roman"/>
                <w:sz w:val="24"/>
                <w:szCs w:val="24"/>
              </w:rPr>
              <w:t>,</w:t>
            </w:r>
            <w:r>
              <w:rPr>
                <w:rFonts w:ascii="Times New Roman" w:hAnsi="Times New Roman" w:cs="Times New Roman"/>
                <w:sz w:val="24"/>
                <w:szCs w:val="24"/>
                <w:lang w:val="lt-LT"/>
              </w:rPr>
              <w:t xml:space="preserve"> auginantiems vaikus, o ypač vaikus su negalia, ar slaugantiems namuose suaugusius šeimos narius. </w:t>
            </w:r>
          </w:p>
        </w:tc>
        <w:tc>
          <w:tcPr>
            <w:tcW w:w="1374"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1723"/>
        </w:trPr>
        <w:tc>
          <w:tcPr>
            <w:tcW w:w="2605" w:type="dxa"/>
            <w:vMerge/>
          </w:tcPr>
          <w:p w:rsidR="00AF7A40" w:rsidRDefault="00AF7A40">
            <w:pPr>
              <w:rPr>
                <w:rFonts w:ascii="Times New Roman" w:hAnsi="Times New Roman" w:cs="Times New Roman"/>
                <w:sz w:val="24"/>
                <w:szCs w:val="24"/>
                <w:lang w:val="lt-LT"/>
              </w:rPr>
            </w:pPr>
          </w:p>
        </w:tc>
        <w:tc>
          <w:tcPr>
            <w:tcW w:w="5649"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5.2. Surinkti šeimos tarybų ir komisijų, Lietuvos šeimų,  šeimos organizacijų ir su šeimomis dirbančių organizacijų pasiūlymus dėl ikimokyklinio ugdymo prieinamumo savivaldybėse užtikrinimo, švietimo pagalbos ikimokyklinėse įstaigose prieinamumo, ir teikti juos Seimui ir Vyriausybei.</w:t>
            </w:r>
          </w:p>
        </w:tc>
        <w:tc>
          <w:tcPr>
            <w:tcW w:w="1374"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1407"/>
        </w:trPr>
        <w:tc>
          <w:tcPr>
            <w:tcW w:w="2605" w:type="dxa"/>
            <w:vMerge/>
          </w:tcPr>
          <w:p w:rsidR="00AF7A40" w:rsidRDefault="00AF7A40">
            <w:pPr>
              <w:rPr>
                <w:rFonts w:ascii="Times New Roman" w:hAnsi="Times New Roman" w:cs="Times New Roman"/>
                <w:sz w:val="24"/>
                <w:szCs w:val="24"/>
                <w:lang w:val="lt-LT"/>
              </w:rPr>
            </w:pPr>
          </w:p>
        </w:tc>
        <w:tc>
          <w:tcPr>
            <w:tcW w:w="5649"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5.2. Surengti apskritojo stalo diskusiją kartu su švietimo bendruomenių atstovais apie privalomo ikimokyklinio ugdymo  ir  sklandaus vaikų  integravimo problemas, užtikrinant kokybiškas nemokamas ugdymo, maitinimo ir pavėžėjimo paslaugas. </w:t>
            </w:r>
          </w:p>
        </w:tc>
        <w:tc>
          <w:tcPr>
            <w:tcW w:w="1374" w:type="dxa"/>
            <w:tcBorders>
              <w:top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 xml:space="preserve">2022 m. </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I-IV ketvirčiai</w:t>
            </w:r>
          </w:p>
        </w:tc>
      </w:tr>
      <w:tr w:rsidR="00AF7A40">
        <w:trPr>
          <w:trHeight w:val="2004"/>
        </w:trPr>
        <w:tc>
          <w:tcPr>
            <w:tcW w:w="2605" w:type="dxa"/>
            <w:vMerge w:val="restart"/>
            <w:tcBorders>
              <w:top w:val="single" w:sz="4" w:space="0" w:color="auto"/>
            </w:tcBorders>
          </w:tcPr>
          <w:p w:rsidR="00AF7A40" w:rsidRDefault="00BA4C44">
            <w:pPr>
              <w:jc w:val="left"/>
              <w:rPr>
                <w:rFonts w:ascii="Times New Roman" w:hAnsi="Times New Roman" w:cs="Times New Roman"/>
                <w:sz w:val="24"/>
                <w:szCs w:val="24"/>
                <w:lang w:val="lt-LT"/>
              </w:rPr>
            </w:pPr>
            <w:r>
              <w:rPr>
                <w:rFonts w:ascii="Times New Roman" w:hAnsi="Times New Roman" w:cs="Times New Roman"/>
                <w:sz w:val="24"/>
                <w:szCs w:val="24"/>
                <w:lang w:val="lt-LT"/>
              </w:rPr>
              <w:t>6. Programų ir priemonių, skirtų šeimai palankiai aplinkai kurti, įgyvendinimo analizė ir vertinimas.</w:t>
            </w:r>
          </w:p>
        </w:tc>
        <w:tc>
          <w:tcPr>
            <w:tcW w:w="5649" w:type="dxa"/>
            <w:tcBorders>
              <w:top w:val="single" w:sz="4" w:space="0" w:color="auto"/>
              <w:bottom w:val="single" w:sz="4" w:space="0" w:color="auto"/>
            </w:tcBorders>
          </w:tcPr>
          <w:p w:rsidR="00AF7A40" w:rsidRDefault="00BA4C44">
            <w:pPr>
              <w:rPr>
                <w:rFonts w:ascii="Times New Roman" w:hAnsi="Times New Roman" w:cs="Times New Roman"/>
                <w:sz w:val="24"/>
                <w:szCs w:val="24"/>
              </w:rPr>
            </w:pPr>
            <w:r>
              <w:rPr>
                <w:rFonts w:ascii="Times New Roman" w:hAnsi="Times New Roman" w:cs="Times New Roman"/>
                <w:sz w:val="24"/>
                <w:szCs w:val="24"/>
                <w:lang w:val="lt-LT"/>
              </w:rPr>
              <w:t>6.1. Surinkti šeimos tarybų ir komisijų, Lietuvos šeimų,  šeimos organizacijų ir su šeimomis dirbančių organizacijų pasiūlymus dėl kompleksinių paslaugų asmenims, atsidūrusiems krizinėje situacijoje (ypač skyrybų atveju</w:t>
            </w:r>
            <w:r>
              <w:rPr>
                <w:rFonts w:ascii="Times New Roman" w:hAnsi="Times New Roman" w:cs="Times New Roman"/>
                <w:sz w:val="24"/>
                <w:szCs w:val="24"/>
              </w:rPr>
              <w:t>,</w:t>
            </w:r>
            <w:r>
              <w:rPr>
                <w:rFonts w:ascii="Times New Roman" w:hAnsi="Times New Roman" w:cs="Times New Roman"/>
                <w:sz w:val="24"/>
                <w:szCs w:val="24"/>
                <w:lang w:val="lt-LT"/>
              </w:rPr>
              <w:t xml:space="preserve"> šeimoms auginančioms paauglius), plėtros kitų prevencinių priemonių tobulinimo ir pateikti juos Seimui ir Vyriausybei</w:t>
            </w:r>
            <w:r>
              <w:rPr>
                <w:rFonts w:ascii="Times New Roman" w:hAnsi="Times New Roman" w:cs="Times New Roman"/>
                <w:sz w:val="24"/>
                <w:szCs w:val="24"/>
              </w:rPr>
              <w:t>.</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2022 m.</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III-IV ketvirčiai</w:t>
            </w:r>
          </w:p>
        </w:tc>
      </w:tr>
      <w:tr w:rsidR="00AF7A40">
        <w:trPr>
          <w:trHeight w:val="1476"/>
        </w:trPr>
        <w:tc>
          <w:tcPr>
            <w:tcW w:w="2605" w:type="dxa"/>
            <w:vMerge/>
          </w:tcPr>
          <w:p w:rsidR="00AF7A40" w:rsidRDefault="00AF7A40">
            <w:pPr>
              <w:rPr>
                <w:rFonts w:ascii="Times New Roman" w:hAnsi="Times New Roman" w:cs="Times New Roman"/>
                <w:sz w:val="24"/>
                <w:szCs w:val="24"/>
                <w:lang w:val="lt-LT"/>
              </w:rPr>
            </w:pPr>
          </w:p>
        </w:tc>
        <w:tc>
          <w:tcPr>
            <w:tcW w:w="5649"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6.2. Surengti apskritojo stalo diskusijas:</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6.2.1 „Pagalba šeimoms su emocijų ir elgesio sutrikimų ar negalią turinčiais paaugliais";</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6.2.2. „Psichologinių krizių šeimoje įveikimo iššūkiai ir galimybės".</w:t>
            </w:r>
          </w:p>
        </w:tc>
        <w:tc>
          <w:tcPr>
            <w:tcW w:w="1374" w:type="dxa"/>
            <w:tcBorders>
              <w:top w:val="single" w:sz="4" w:space="0" w:color="auto"/>
              <w:bottom w:val="single" w:sz="4" w:space="0" w:color="auto"/>
            </w:tcBorders>
          </w:tcPr>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2022 m.</w:t>
            </w:r>
          </w:p>
          <w:p w:rsidR="00AF7A40" w:rsidRDefault="00BA4C44">
            <w:pPr>
              <w:rPr>
                <w:rFonts w:ascii="Times New Roman" w:hAnsi="Times New Roman" w:cs="Times New Roman"/>
                <w:sz w:val="24"/>
                <w:szCs w:val="24"/>
                <w:lang w:val="lt-LT"/>
              </w:rPr>
            </w:pPr>
            <w:r>
              <w:rPr>
                <w:rFonts w:ascii="Times New Roman" w:hAnsi="Times New Roman" w:cs="Times New Roman"/>
                <w:sz w:val="24"/>
                <w:szCs w:val="24"/>
                <w:lang w:val="lt-LT"/>
              </w:rPr>
              <w:t>III-IV ketvirčiai</w:t>
            </w:r>
          </w:p>
        </w:tc>
      </w:tr>
    </w:tbl>
    <w:p w:rsidR="00AF7A40" w:rsidRDefault="00BA4C44">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sectPr w:rsidR="00AF7A40">
      <w:headerReference w:type="default" r:id="rId8"/>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8F" w:rsidRDefault="00BA4C44">
      <w:r>
        <w:separator/>
      </w:r>
    </w:p>
  </w:endnote>
  <w:endnote w:type="continuationSeparator" w:id="0">
    <w:p w:rsidR="009B398F" w:rsidRDefault="00BA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8F" w:rsidRDefault="00BA4C44">
      <w:r>
        <w:separator/>
      </w:r>
    </w:p>
  </w:footnote>
  <w:footnote w:type="continuationSeparator" w:id="0">
    <w:p w:rsidR="009B398F" w:rsidRDefault="00BA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40" w:rsidRDefault="00AF7A40">
    <w:pPr>
      <w:pStyle w:val="Antrats"/>
      <w:jc w:val="right"/>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FF64FB"/>
    <w:rsid w:val="00013CDE"/>
    <w:rsid w:val="00073FB6"/>
    <w:rsid w:val="0007511D"/>
    <w:rsid w:val="00083A5C"/>
    <w:rsid w:val="00093FC1"/>
    <w:rsid w:val="00095D7D"/>
    <w:rsid w:val="000D41FD"/>
    <w:rsid w:val="0016360F"/>
    <w:rsid w:val="00164263"/>
    <w:rsid w:val="00164980"/>
    <w:rsid w:val="001659F2"/>
    <w:rsid w:val="00177F37"/>
    <w:rsid w:val="001D6992"/>
    <w:rsid w:val="002D149B"/>
    <w:rsid w:val="00312124"/>
    <w:rsid w:val="0032734D"/>
    <w:rsid w:val="003D5AB5"/>
    <w:rsid w:val="003E1A2E"/>
    <w:rsid w:val="004035C8"/>
    <w:rsid w:val="00403CD9"/>
    <w:rsid w:val="00422115"/>
    <w:rsid w:val="00435AA2"/>
    <w:rsid w:val="004D1045"/>
    <w:rsid w:val="005459EB"/>
    <w:rsid w:val="00552D19"/>
    <w:rsid w:val="00574336"/>
    <w:rsid w:val="005D2059"/>
    <w:rsid w:val="005D675B"/>
    <w:rsid w:val="005F3A1E"/>
    <w:rsid w:val="006052CB"/>
    <w:rsid w:val="00607902"/>
    <w:rsid w:val="006125F8"/>
    <w:rsid w:val="006D2B2E"/>
    <w:rsid w:val="006D6FC7"/>
    <w:rsid w:val="0071634B"/>
    <w:rsid w:val="00761665"/>
    <w:rsid w:val="00764135"/>
    <w:rsid w:val="00775918"/>
    <w:rsid w:val="0078412D"/>
    <w:rsid w:val="007C5AAD"/>
    <w:rsid w:val="007E1A3E"/>
    <w:rsid w:val="00832D4A"/>
    <w:rsid w:val="0085764C"/>
    <w:rsid w:val="00867284"/>
    <w:rsid w:val="008D3DCE"/>
    <w:rsid w:val="009B398F"/>
    <w:rsid w:val="009C4EFA"/>
    <w:rsid w:val="009E7CA1"/>
    <w:rsid w:val="009F7950"/>
    <w:rsid w:val="00A91F9F"/>
    <w:rsid w:val="00AF7A40"/>
    <w:rsid w:val="00B27012"/>
    <w:rsid w:val="00B27D84"/>
    <w:rsid w:val="00B6498B"/>
    <w:rsid w:val="00B65FB1"/>
    <w:rsid w:val="00BA4C44"/>
    <w:rsid w:val="00BB54E7"/>
    <w:rsid w:val="00BD056C"/>
    <w:rsid w:val="00C23590"/>
    <w:rsid w:val="00C349AF"/>
    <w:rsid w:val="00C44A0E"/>
    <w:rsid w:val="00C93391"/>
    <w:rsid w:val="00CA2FB9"/>
    <w:rsid w:val="00CE635D"/>
    <w:rsid w:val="00D36A57"/>
    <w:rsid w:val="00D63B20"/>
    <w:rsid w:val="00D95B3A"/>
    <w:rsid w:val="00DD1ECB"/>
    <w:rsid w:val="00E6063E"/>
    <w:rsid w:val="00EF3A51"/>
    <w:rsid w:val="00F60427"/>
    <w:rsid w:val="00FD01E8"/>
    <w:rsid w:val="00FF3BE3"/>
    <w:rsid w:val="1DFF64FB"/>
    <w:rsid w:val="23CF2588"/>
    <w:rsid w:val="2A931B12"/>
    <w:rsid w:val="32854B79"/>
    <w:rsid w:val="35667E4C"/>
    <w:rsid w:val="3B0144A2"/>
    <w:rsid w:val="4318350A"/>
    <w:rsid w:val="4FA77B8D"/>
    <w:rsid w:val="6C0336F7"/>
    <w:rsid w:val="6EBF01F1"/>
    <w:rsid w:val="6F883B39"/>
    <w:rsid w:val="78F6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3885A"/>
  <w15:docId w15:val="{51134D03-D0A5-4AB7-9602-89CCC88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heme="minorHAnsi" w:eastAsiaTheme="minorEastAsia" w:hAnsiTheme="minorHAnsi" w:cstheme="minorBidi"/>
      <w:lang w:val="en-US" w:eastAsia="zh-CN"/>
    </w:rPr>
  </w:style>
  <w:style w:type="paragraph" w:styleId="Antrat2">
    <w:name w:val="heading 2"/>
    <w:basedOn w:val="prastasis"/>
    <w:next w:val="prastasis"/>
    <w:link w:val="Antrat2Diagrama"/>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styleId="Komentaronuoroda">
    <w:name w:val="annotation reference"/>
    <w:basedOn w:val="Numatytasispastraiposriftas"/>
    <w:qFormat/>
    <w:rPr>
      <w:sz w:val="16"/>
      <w:szCs w:val="16"/>
    </w:rPr>
  </w:style>
  <w:style w:type="paragraph" w:styleId="Komentarotekstas">
    <w:name w:val="annotation text"/>
    <w:basedOn w:val="prastasis"/>
    <w:link w:val="KomentarotekstasDiagrama"/>
    <w:qFormat/>
  </w:style>
  <w:style w:type="paragraph" w:styleId="Komentarotema">
    <w:name w:val="annotation subject"/>
    <w:basedOn w:val="Komentarotekstas"/>
    <w:next w:val="Komentarotekstas"/>
    <w:link w:val="KomentarotemaDiagrama"/>
    <w:qFormat/>
    <w:rPr>
      <w:b/>
      <w:bCs/>
    </w:rPr>
  </w:style>
  <w:style w:type="paragraph" w:styleId="Porat">
    <w:name w:val="footer"/>
    <w:basedOn w:val="prastasis"/>
    <w:link w:val="PoratDiagrama"/>
    <w:pPr>
      <w:tabs>
        <w:tab w:val="center" w:pos="4819"/>
        <w:tab w:val="right" w:pos="9638"/>
      </w:tabs>
    </w:pPr>
  </w:style>
  <w:style w:type="paragraph" w:styleId="Antrats">
    <w:name w:val="header"/>
    <w:basedOn w:val="prastasis"/>
    <w:link w:val="AntratsDiagrama"/>
    <w:pPr>
      <w:tabs>
        <w:tab w:val="center" w:pos="4819"/>
        <w:tab w:val="right" w:pos="9638"/>
      </w:tabs>
    </w:pPr>
  </w:style>
  <w:style w:type="character" w:styleId="Hipersaitas">
    <w:name w:val="Hyperlink"/>
    <w:basedOn w:val="Numatytasispastraiposriftas"/>
    <w:qFormat/>
    <w:rPr>
      <w:color w:val="0000FF"/>
      <w:u w:val="single"/>
    </w:rPr>
  </w:style>
  <w:style w:type="table" w:styleId="Lentelstinklelis">
    <w:name w:val="Table Grid"/>
    <w:basedOn w:val="prastojilente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contextualSpacing/>
    </w:pPr>
  </w:style>
  <w:style w:type="character" w:customStyle="1" w:styleId="AntratsDiagrama">
    <w:name w:val="Antraštės Diagrama"/>
    <w:basedOn w:val="Numatytasispastraiposriftas"/>
    <w:link w:val="Antrats"/>
    <w:qFormat/>
    <w:rPr>
      <w:rFonts w:asciiTheme="minorHAnsi" w:eastAsiaTheme="minorEastAsia" w:hAnsiTheme="minorHAnsi" w:cstheme="minorBidi"/>
      <w:lang w:eastAsia="zh-CN"/>
    </w:rPr>
  </w:style>
  <w:style w:type="character" w:customStyle="1" w:styleId="PoratDiagrama">
    <w:name w:val="Poraštė Diagrama"/>
    <w:basedOn w:val="Numatytasispastraiposriftas"/>
    <w:link w:val="Porat"/>
    <w:rPr>
      <w:rFonts w:asciiTheme="minorHAnsi" w:eastAsiaTheme="minorEastAsia" w:hAnsiTheme="minorHAnsi" w:cstheme="minorBidi"/>
      <w:lang w:eastAsia="zh-CN"/>
    </w:rPr>
  </w:style>
  <w:style w:type="character" w:customStyle="1" w:styleId="Antrat2Diagrama">
    <w:name w:val="Antraštė 2 Diagrama"/>
    <w:basedOn w:val="Numatytasispastraiposriftas"/>
    <w:link w:val="Antrat2"/>
    <w:rPr>
      <w:rFonts w:asciiTheme="majorHAnsi" w:eastAsiaTheme="majorEastAsia" w:hAnsiTheme="majorHAnsi" w:cstheme="majorBidi"/>
      <w:b/>
      <w:bCs/>
      <w:color w:val="5B9BD5" w:themeColor="accent1"/>
      <w:sz w:val="26"/>
      <w:szCs w:val="26"/>
      <w:lang w:eastAsia="zh-CN"/>
    </w:rPr>
  </w:style>
  <w:style w:type="character" w:customStyle="1" w:styleId="KomentarotekstasDiagrama">
    <w:name w:val="Komentaro tekstas Diagrama"/>
    <w:basedOn w:val="Numatytasispastraiposriftas"/>
    <w:link w:val="Komentarotekstas"/>
    <w:rPr>
      <w:rFonts w:asciiTheme="minorHAnsi" w:eastAsiaTheme="minorEastAsia" w:hAnsiTheme="minorHAnsi" w:cstheme="minorBidi"/>
      <w:lang w:eastAsia="zh-CN"/>
    </w:rPr>
  </w:style>
  <w:style w:type="character" w:customStyle="1" w:styleId="KomentarotemaDiagrama">
    <w:name w:val="Komentaro tema Diagrama"/>
    <w:basedOn w:val="KomentarotekstasDiagrama"/>
    <w:link w:val="Komentarotema"/>
    <w:qFormat/>
    <w:rPr>
      <w:rFonts w:asciiTheme="minorHAnsi" w:eastAsiaTheme="minorEastAsia" w:hAnsiTheme="minorHAnsi" w:cstheme="minorBidi"/>
      <w:b/>
      <w:bCs/>
      <w:lang w:eastAsia="zh-CN"/>
    </w:rPr>
  </w:style>
  <w:style w:type="character" w:customStyle="1" w:styleId="DebesliotekstasDiagrama">
    <w:name w:val="Debesėlio tekstas Diagrama"/>
    <w:basedOn w:val="Numatytasispastraiposriftas"/>
    <w:link w:val="Debesliotekstas"/>
    <w:qFormat/>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18325-D8CA-4C12-B684-449AFF94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4718</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TAMULEVIČIŪTĖ Ingrida</cp:lastModifiedBy>
  <cp:revision>4</cp:revision>
  <cp:lastPrinted>2022-07-25T06:54:00Z</cp:lastPrinted>
  <dcterms:created xsi:type="dcterms:W3CDTF">2022-02-23T06:33:00Z</dcterms:created>
  <dcterms:modified xsi:type="dcterms:W3CDTF">2022-07-25T06:55:00Z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8B0A0BCBCF304C04B2693361685F4E5B</vt:lpwstr>
  </property>
</Properties>
</file>